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bidi w:val="0"/>
        <w:spacing w:before="240" w:after="283"/>
        <w:jc w:val="left"/>
        <w:rPr/>
      </w:pPr>
      <w:r>
        <w:rPr/>
        <w:t>Tauschvertrag</w:t>
      </w:r>
    </w:p>
    <w:p>
      <w:pPr>
        <w:pStyle w:val="BodyTextsub"/>
        <w:bidi w:val="0"/>
        <w:jc w:val="left"/>
        <w:rPr/>
      </w:pPr>
      <w:r>
        <w:rPr/>
        <w:t>Für den Tausch beweglicher Sachen zwischen Privatpersonen · § 480 BGB</w:t>
      </w:r>
    </w:p>
    <w:p>
      <w:pPr>
        <w:pStyle w:val="Heading2"/>
        <w:bidi w:val="0"/>
        <w:ind w:hanging="0" w:left="0" w:right="0"/>
        <w:jc w:val="left"/>
        <w:rPr/>
      </w:pPr>
      <w:r>
        <w:rPr/>
        <w:t>Tauschpartner A</w:t>
      </w:r>
    </w:p>
    <w:p>
      <w:pPr>
        <w:pStyle w:val="BodyText"/>
        <w:bidi w:val="0"/>
        <w:spacing w:before="0" w:after="0"/>
        <w:ind w:hanging="0" w:left="0" w:right="0"/>
        <w:jc w:val="left"/>
        <w:rPr>
          <w:color w:val="444444"/>
          <w:sz w:val="14"/>
        </w:rPr>
      </w:pPr>
      <w:r>
        <w:rPr>
          <w:color w:val="444444"/>
          <w:sz w:val="14"/>
        </w:rPr>
        <w:t>Name, Vorname</w:t>
      </w:r>
    </w:p>
    <w:p>
      <w:pPr>
        <w:pStyle w:val="BodyText"/>
        <w:bidi w:val="0"/>
        <w:spacing w:before="0" w:after="0"/>
        <w:ind w:hanging="0" w:left="0" w:right="0"/>
        <w:jc w:val="left"/>
        <w:rPr>
          <w:color w:val="444444"/>
          <w:sz w:val="14"/>
        </w:rPr>
      </w:pPr>
      <w:r>
        <w:rPr>
          <w:color w:val="444444"/>
          <w:sz w:val="14"/>
        </w:rPr>
        <w:t>Straße, Hausnummer</w:t>
      </w:r>
    </w:p>
    <w:p>
      <w:pPr>
        <w:pStyle w:val="BodyText"/>
        <w:bidi w:val="0"/>
        <w:spacing w:before="0" w:after="85"/>
        <w:ind w:hanging="0" w:left="0" w:right="0"/>
        <w:jc w:val="left"/>
        <w:rPr>
          <w:color w:val="444444"/>
          <w:sz w:val="14"/>
        </w:rPr>
      </w:pPr>
      <w:r>
        <w:rPr>
          <w:color w:val="444444"/>
          <w:sz w:val="14"/>
        </w:rPr>
        <w:t>PLZ, Ort</w:t>
      </w:r>
    </w:p>
    <w:p>
      <w:pPr>
        <w:pStyle w:val="BodyText"/>
        <w:bidi w:val="0"/>
        <w:spacing w:before="0" w:after="85"/>
        <w:ind w:hanging="0" w:left="0" w:right="0"/>
        <w:jc w:val="left"/>
        <w:rPr>
          <w:color w:val="444444"/>
          <w:sz w:val="14"/>
        </w:rPr>
      </w:pPr>
      <w:r>
        <w:rPr>
          <w:color w:val="444444"/>
          <w:sz w:val="14"/>
        </w:rPr>
        <w:t>Telefon</w:t>
      </w:r>
    </w:p>
    <w:p>
      <w:pPr>
        <w:pStyle w:val="BodyText"/>
        <w:bidi w:val="0"/>
        <w:ind w:hanging="0" w:left="0" w:right="0"/>
        <w:jc w:val="left"/>
        <w:rPr>
          <w:color w:val="444444"/>
          <w:sz w:val="14"/>
        </w:rPr>
      </w:pPr>
      <w:r>
        <w:rPr>
          <w:color w:val="444444"/>
          <w:sz w:val="14"/>
        </w:rPr>
        <w:t>Ausweisnummer und ausstellende Behörde</w:t>
      </w:r>
    </w:p>
    <w:p>
      <w:pPr>
        <w:pStyle w:val="Heading2"/>
        <w:bidi w:val="0"/>
        <w:jc w:val="left"/>
        <w:rPr/>
      </w:pPr>
      <w:r>
        <w:rPr/>
        <w:t>Tauschpartner B</w:t>
      </w:r>
    </w:p>
    <w:p>
      <w:pPr>
        <w:pStyle w:val="BodyText"/>
        <w:bidi w:val="0"/>
        <w:spacing w:before="0" w:after="0"/>
        <w:ind w:hanging="0" w:left="0" w:right="0"/>
        <w:jc w:val="left"/>
        <w:rPr>
          <w:color w:val="444444"/>
          <w:sz w:val="14"/>
        </w:rPr>
      </w:pPr>
      <w:r>
        <w:rPr>
          <w:color w:val="444444"/>
          <w:sz w:val="14"/>
        </w:rPr>
        <w:t>Name, Vorname</w:t>
      </w:r>
    </w:p>
    <w:p>
      <w:pPr>
        <w:pStyle w:val="BodyText"/>
        <w:bidi w:val="0"/>
        <w:spacing w:before="0" w:after="0"/>
        <w:ind w:hanging="0" w:left="0" w:right="0"/>
        <w:jc w:val="left"/>
        <w:rPr>
          <w:color w:val="444444"/>
          <w:sz w:val="14"/>
        </w:rPr>
      </w:pPr>
      <w:r>
        <w:rPr>
          <w:color w:val="444444"/>
          <w:sz w:val="14"/>
        </w:rPr>
        <w:t>Straße, Hausnummer</w:t>
      </w:r>
    </w:p>
    <w:p>
      <w:pPr>
        <w:pStyle w:val="BodyText"/>
        <w:bidi w:val="0"/>
        <w:spacing w:before="0" w:after="85"/>
        <w:ind w:hanging="0" w:left="0" w:right="0"/>
        <w:jc w:val="left"/>
        <w:rPr>
          <w:color w:val="444444"/>
          <w:sz w:val="14"/>
        </w:rPr>
      </w:pPr>
      <w:r>
        <w:rPr>
          <w:color w:val="444444"/>
          <w:sz w:val="14"/>
        </w:rPr>
        <w:t>PLZ, Ort</w:t>
      </w:r>
    </w:p>
    <w:p>
      <w:pPr>
        <w:pStyle w:val="BodyText"/>
        <w:bidi w:val="0"/>
        <w:spacing w:before="0" w:after="85"/>
        <w:ind w:hanging="0" w:left="0" w:right="0"/>
        <w:jc w:val="left"/>
        <w:rPr>
          <w:color w:val="444444"/>
          <w:sz w:val="14"/>
        </w:rPr>
      </w:pPr>
      <w:r>
        <w:rPr>
          <w:color w:val="444444"/>
          <w:sz w:val="14"/>
        </w:rPr>
        <w:t>Telefon</w:t>
      </w:r>
    </w:p>
    <w:p>
      <w:pPr>
        <w:pStyle w:val="BodyText"/>
        <w:bidi w:val="0"/>
        <w:ind w:hanging="0" w:left="0" w:right="0"/>
        <w:jc w:val="left"/>
        <w:rPr>
          <w:color w:val="444444"/>
          <w:sz w:val="14"/>
        </w:rPr>
      </w:pPr>
      <w:r>
        <w:rPr>
          <w:color w:val="444444"/>
          <w:sz w:val="14"/>
        </w:rPr>
        <w:t>Ausweisnummer und ausstellende Behörde</w:t>
      </w:r>
    </w:p>
    <w:p>
      <w:pPr>
        <w:pStyle w:val="Heading2"/>
        <w:bidi w:val="0"/>
        <w:jc w:val="left"/>
        <w:rPr/>
      </w:pPr>
      <w:r>
        <w:rPr/>
        <w:t>Gegenstand A — von Tauschpartner A hergegeben</w:t>
      </w:r>
    </w:p>
    <w:p>
      <w:pPr>
        <w:pStyle w:val="BodyTexthint"/>
        <w:bidi w:val="0"/>
        <w:spacing w:before="0" w:after="283"/>
        <w:jc w:val="left"/>
        <w:rPr/>
      </w:pPr>
      <w:r>
        <w:rPr/>
        <w:t>Jede Partei ist für die von ihr hergegebene Sache Verkäufer: beide Gegenstände gleich ausführlich beschreiben.</w:t>
      </w:r>
    </w:p>
    <w:p>
      <w:pPr>
        <w:pStyle w:val="BodyText"/>
        <w:bidi w:val="0"/>
        <w:spacing w:before="0" w:after="0"/>
        <w:ind w:hanging="0" w:left="0" w:right="0"/>
        <w:jc w:val="left"/>
        <w:rPr>
          <w:color w:val="444444"/>
          <w:sz w:val="14"/>
        </w:rPr>
      </w:pPr>
      <w:r>
        <w:rPr>
          <w:color w:val="444444"/>
          <w:sz w:val="14"/>
        </w:rPr>
        <w:t>Bezeichnung, Marke, Modell</w:t>
      </w:r>
    </w:p>
    <w:p>
      <w:pPr>
        <w:pStyle w:val="BodyText"/>
        <w:bidi w:val="0"/>
        <w:spacing w:before="0" w:after="0"/>
        <w:ind w:hanging="0" w:left="0" w:right="0"/>
        <w:jc w:val="left"/>
        <w:rPr>
          <w:color w:val="444444"/>
          <w:sz w:val="14"/>
        </w:rPr>
      </w:pPr>
      <w:r>
        <w:rPr>
          <w:color w:val="444444"/>
          <w:sz w:val="14"/>
        </w:rPr>
        <w:t>Identifikationsnummer</w:t>
      </w:r>
    </w:p>
    <w:p>
      <w:pPr>
        <w:pStyle w:val="BodyText"/>
        <w:bidi w:val="0"/>
        <w:spacing w:before="0" w:after="85"/>
        <w:ind w:hanging="0" w:left="0" w:right="0"/>
        <w:jc w:val="left"/>
        <w:rPr>
          <w:color w:val="444444"/>
          <w:sz w:val="14"/>
        </w:rPr>
      </w:pPr>
      <w:r>
        <w:rPr>
          <w:color w:val="444444"/>
          <w:sz w:val="14"/>
        </w:rPr>
        <w:t>Angenommener Wert (€)</w:t>
      </w:r>
    </w:p>
    <w:p>
      <w:pPr>
        <w:pStyle w:val="BodyText"/>
        <w:bidi w:val="0"/>
        <w:spacing w:before="0" w:after="85"/>
        <w:ind w:hanging="0" w:left="0" w:right="0"/>
        <w:jc w:val="left"/>
        <w:rPr>
          <w:color w:val="444444"/>
          <w:sz w:val="14"/>
        </w:rPr>
      </w:pPr>
      <w:r>
        <w:rPr>
          <w:color w:val="444444"/>
          <w:sz w:val="14"/>
        </w:rPr>
        <w:t>Baujahr</w:t>
      </w:r>
    </w:p>
    <w:p>
      <w:pPr>
        <w:pStyle w:val="BodyText"/>
        <w:bidi w:val="0"/>
        <w:ind w:hanging="0" w:left="0" w:right="0"/>
        <w:jc w:val="left"/>
        <w:rPr>
          <w:color w:val="444444"/>
          <w:sz w:val="14"/>
        </w:rPr>
      </w:pPr>
      <w:r>
        <w:rPr>
          <w:color w:val="444444"/>
          <w:sz w:val="14"/>
        </w:rPr>
        <w:t>Zustand und bekannte Mängel</w:t>
      </w:r>
    </w:p>
    <w:p>
      <w:pPr>
        <w:pStyle w:val="Heading2"/>
        <w:bidi w:val="0"/>
        <w:ind w:hanging="0" w:left="0" w:right="0"/>
        <w:jc w:val="left"/>
        <w:rPr/>
      </w:pPr>
      <w:r>
        <w:rPr/>
        <w:t>Gegenstand B — von Tauschpartner B hergegeben</w:t>
      </w:r>
    </w:p>
    <w:p>
      <w:pPr>
        <w:pStyle w:val="BodyText"/>
        <w:bidi w:val="0"/>
        <w:spacing w:before="0" w:after="0"/>
        <w:ind w:hanging="0" w:left="0" w:right="0"/>
        <w:jc w:val="left"/>
        <w:rPr>
          <w:color w:val="444444"/>
          <w:sz w:val="14"/>
        </w:rPr>
      </w:pPr>
      <w:r>
        <w:rPr>
          <w:color w:val="444444"/>
          <w:sz w:val="14"/>
        </w:rPr>
        <w:t>Bezeichnung, Marke, Modell</w:t>
      </w:r>
    </w:p>
    <w:p>
      <w:pPr>
        <w:pStyle w:val="BodyText"/>
        <w:bidi w:val="0"/>
        <w:spacing w:before="0" w:after="0"/>
        <w:ind w:hanging="0" w:left="0" w:right="0"/>
        <w:jc w:val="left"/>
        <w:rPr>
          <w:color w:val="444444"/>
          <w:sz w:val="14"/>
        </w:rPr>
      </w:pPr>
      <w:r>
        <w:rPr>
          <w:color w:val="444444"/>
          <w:sz w:val="14"/>
        </w:rPr>
        <w:t>Identifikationsnummer</w:t>
      </w:r>
    </w:p>
    <w:p>
      <w:pPr>
        <w:pStyle w:val="BodyText"/>
        <w:bidi w:val="0"/>
        <w:spacing w:before="0" w:after="85"/>
        <w:ind w:hanging="0" w:left="0" w:right="0"/>
        <w:jc w:val="left"/>
        <w:rPr>
          <w:color w:val="444444"/>
          <w:sz w:val="14"/>
        </w:rPr>
      </w:pPr>
      <w:r>
        <w:rPr>
          <w:color w:val="444444"/>
          <w:sz w:val="14"/>
        </w:rPr>
        <w:t>Angenommener Wert (€)</w:t>
      </w:r>
    </w:p>
    <w:p>
      <w:pPr>
        <w:pStyle w:val="BodyText"/>
        <w:bidi w:val="0"/>
        <w:spacing w:before="0" w:after="85"/>
        <w:ind w:hanging="0" w:left="0" w:right="0"/>
        <w:jc w:val="left"/>
        <w:rPr>
          <w:color w:val="444444"/>
          <w:sz w:val="14"/>
        </w:rPr>
      </w:pPr>
      <w:r>
        <w:rPr>
          <w:color w:val="444444"/>
          <w:sz w:val="14"/>
        </w:rPr>
        <w:t>Baujahr</w:t>
      </w:r>
    </w:p>
    <w:p>
      <w:pPr>
        <w:pStyle w:val="BodyText"/>
        <w:bidi w:val="0"/>
        <w:ind w:hanging="0" w:left="0" w:right="0"/>
        <w:jc w:val="left"/>
        <w:rPr>
          <w:color w:val="444444"/>
          <w:sz w:val="14"/>
        </w:rPr>
      </w:pPr>
      <w:r>
        <w:rPr>
          <w:color w:val="444444"/>
          <w:sz w:val="14"/>
        </w:rPr>
        <w:t>Zustand und bekannte Mängel</w:t>
      </w:r>
    </w:p>
    <w:p>
      <w:pPr>
        <w:pStyle w:val="Heading2"/>
        <w:bidi w:val="0"/>
        <w:ind w:hanging="0" w:left="0" w:right="0"/>
        <w:jc w:val="left"/>
        <w:rPr/>
      </w:pPr>
      <w:r>
        <w:rPr/>
        <w:t>Wertausgleich und Übergabe</w:t>
      </w:r>
    </w:p>
    <w:p>
      <w:pPr>
        <w:pStyle w:val="BodyText"/>
        <w:bidi w:val="0"/>
        <w:spacing w:before="0" w:after="85"/>
        <w:ind w:hanging="0" w:left="0" w:right="0"/>
        <w:jc w:val="left"/>
        <w:rPr>
          <w:color w:val="444444"/>
          <w:sz w:val="14"/>
        </w:rPr>
      </w:pPr>
      <w:r>
        <w:rPr>
          <w:color w:val="444444"/>
          <w:sz w:val="14"/>
        </w:rPr>
        <w:t>Wertausgleich in Ziffern (€)</w:t>
      </w:r>
    </w:p>
    <w:p>
      <w:pPr>
        <w:pStyle w:val="BodyText"/>
        <w:bidi w:val="0"/>
        <w:spacing w:before="0" w:after="85"/>
        <w:ind w:hanging="0" w:left="0" w:right="0"/>
        <w:jc w:val="left"/>
        <w:rPr>
          <w:color w:val="444444"/>
          <w:sz w:val="14"/>
        </w:rPr>
      </w:pPr>
      <w:r>
        <w:rPr>
          <w:color w:val="444444"/>
          <w:sz w:val="14"/>
        </w:rPr>
        <w:t>Wer zahlt an wen</w:t>
      </w:r>
    </w:p>
    <w:p>
      <w:pPr>
        <w:pStyle w:val="BodyText"/>
        <w:bidi w:val="0"/>
        <w:spacing w:before="0" w:after="85"/>
        <w:ind w:hanging="0" w:left="0" w:right="0"/>
        <w:jc w:val="left"/>
        <w:rPr>
          <w:color w:val="444444"/>
          <w:sz w:val="14"/>
        </w:rPr>
      </w:pPr>
      <w:r>
        <w:rPr>
          <w:color w:val="444444"/>
          <w:sz w:val="14"/>
        </w:rPr>
        <w:t>Zahlungsart</w:t>
      </w:r>
    </w:p>
    <w:p>
      <w:pPr>
        <w:pStyle w:val="BodyText"/>
        <w:bidi w:val="0"/>
        <w:spacing w:before="0" w:after="0"/>
        <w:ind w:hanging="0" w:left="0" w:right="0"/>
        <w:jc w:val="left"/>
        <w:rPr>
          <w:color w:val="444444"/>
          <w:sz w:val="14"/>
        </w:rPr>
      </w:pPr>
      <w:r>
        <w:rPr>
          <w:color w:val="444444"/>
          <w:sz w:val="14"/>
        </w:rPr>
        <w:t>Datum und Ort der Übergabe</w:t>
      </w:r>
    </w:p>
    <w:p>
      <w:pPr>
        <w:pStyle w:val="BodyText"/>
        <w:bidi w:val="0"/>
        <w:ind w:hanging="0" w:left="0" w:right="0"/>
        <w:jc w:val="left"/>
        <w:rPr>
          <w:color w:val="444444"/>
          <w:sz w:val="14"/>
        </w:rPr>
      </w:pPr>
      <w:r>
        <w:rPr>
          <w:color w:val="444444"/>
          <w:sz w:val="14"/>
        </w:rPr>
        <w:t>Ort und Datum des Vertragsschlusses</w:t>
      </w:r>
    </w:p>
    <w:p>
      <w:pPr>
        <w:pStyle w:val="Heading2"/>
        <w:bidi w:val="0"/>
        <w:jc w:val="left"/>
        <w:rPr/>
      </w:pPr>
      <w:r>
        <w:rPr/>
        <w:t>Vertragsbedingungen</w:t>
      </w:r>
    </w:p>
    <w:p>
      <w:pPr>
        <w:pStyle w:val="BodyText"/>
        <w:numPr>
          <w:ilvl w:val="0"/>
          <w:numId w:val="1"/>
        </w:numPr>
        <w:tabs>
          <w:tab w:val="clear" w:pos="1134"/>
          <w:tab w:val="left" w:pos="113" w:leader="none"/>
        </w:tabs>
        <w:bidi w:val="0"/>
        <w:spacing w:before="113" w:after="113"/>
        <w:ind w:hanging="283" w:left="113" w:right="113"/>
        <w:jc w:val="left"/>
        <w:rPr/>
      </w:pPr>
      <w:r>
        <w:rPr/>
        <w:t>Die Parteien tauschen die oben bezeichneten Gegenstände. Tauschpartner A überträgt Tauschpartner B das Eigentum an Gegenstand A, Tauschpartner B überträgt Tauschpartner A das Eigentum an Gegenstand B. Auf den Tausch finden die Vorschriften über den Kauf entsprechende Anwendung (§ 480 BGB).</w:t>
      </w:r>
    </w:p>
    <w:p>
      <w:pPr>
        <w:pStyle w:val="BodyText"/>
        <w:numPr>
          <w:ilvl w:val="0"/>
          <w:numId w:val="1"/>
        </w:numPr>
        <w:tabs>
          <w:tab w:val="clear" w:pos="1134"/>
          <w:tab w:val="left" w:pos="113" w:leader="none"/>
        </w:tabs>
        <w:bidi w:val="0"/>
        <w:spacing w:before="113" w:after="113"/>
        <w:ind w:hanging="283" w:left="113" w:right="113"/>
        <w:jc w:val="left"/>
        <w:rPr/>
      </w:pPr>
      <w:r>
        <w:rPr/>
        <w:t>Jede Partei ist hinsichtlich des von ihr hergegebenen Gegenstandes Verkäufer und hinsichtlich des empfangenen Gegenstandes Käufer.</w:t>
      </w:r>
    </w:p>
    <w:p>
      <w:pPr>
        <w:pStyle w:val="BodyText"/>
        <w:numPr>
          <w:ilvl w:val="0"/>
          <w:numId w:val="1"/>
        </w:numPr>
        <w:tabs>
          <w:tab w:val="clear" w:pos="1134"/>
          <w:tab w:val="left" w:pos="113" w:leader="none"/>
        </w:tabs>
        <w:bidi w:val="0"/>
        <w:spacing w:before="113" w:after="113"/>
        <w:ind w:hanging="283" w:left="113" w:right="113"/>
        <w:jc w:val="left"/>
        <w:rPr/>
      </w:pPr>
      <w:r>
        <w:rPr/>
        <w:t>Jede Partei versichert für den von ihr hergegebenen Gegenstand, dass dieser ihr uneingeschränktes Eigentum ist und dass keine Rechte Dritter daran bestehen.</w:t>
      </w:r>
    </w:p>
    <w:p>
      <w:pPr>
        <w:pStyle w:val="BodyText"/>
        <w:numPr>
          <w:ilvl w:val="0"/>
          <w:numId w:val="1"/>
        </w:numPr>
        <w:tabs>
          <w:tab w:val="clear" w:pos="1134"/>
          <w:tab w:val="left" w:pos="113" w:leader="none"/>
        </w:tabs>
        <w:bidi w:val="0"/>
        <w:spacing w:before="113" w:after="113"/>
        <w:ind w:hanging="283" w:left="113" w:right="113"/>
        <w:jc w:val="left"/>
        <w:rPr/>
      </w:pPr>
      <w:r>
        <w:rPr/>
        <w:t>Beide Gegenstände werden gebraucht und nach Besichtigung getauscht.</w:t>
      </w:r>
    </w:p>
    <w:p>
      <w:pPr>
        <w:pStyle w:val="BodyText"/>
        <w:numPr>
          <w:ilvl w:val="0"/>
          <w:numId w:val="1"/>
        </w:numPr>
        <w:tabs>
          <w:tab w:val="clear" w:pos="1134"/>
          <w:tab w:val="left" w:pos="113" w:leader="none"/>
        </w:tabs>
        <w:bidi w:val="0"/>
        <w:spacing w:before="113" w:after="113"/>
        <w:ind w:hanging="283" w:left="113" w:right="113"/>
        <w:jc w:val="left"/>
        <w:rPr/>
      </w:pPr>
      <w:r>
        <w:rPr/>
        <w:t>Der Tausch erfolgt beiderseits unter Ausschluss der Haftung für Sach- und Rechtsmängel. Der Ausschluss gilt für jede Partei hinsichtlich des von ihr hergegebenen Gegenstandes. Er gilt nicht, soweit eine Partei einen Mangel arglistig verschwiegen oder eine Garantie für die Beschaffenheit der Sache übernommen hat (§ 444 BGB). Die Haftung wegen Vorsatzes kann nicht im Voraus ausgeschlossen werden (§ 276 Absatz 3 BGB); unberührt bleibt außerdem die Haftung für Schäden aus der Verletzung des Lebens, des Körpers oder der Gesundheit.</w:t>
      </w:r>
    </w:p>
    <w:p>
      <w:pPr>
        <w:pStyle w:val="BodyText"/>
        <w:numPr>
          <w:ilvl w:val="0"/>
          <w:numId w:val="1"/>
        </w:numPr>
        <w:tabs>
          <w:tab w:val="clear" w:pos="1134"/>
          <w:tab w:val="left" w:pos="113" w:leader="none"/>
        </w:tabs>
        <w:bidi w:val="0"/>
        <w:spacing w:before="113" w:after="113"/>
        <w:ind w:hanging="283" w:left="113" w:right="113"/>
        <w:jc w:val="left"/>
        <w:rPr/>
      </w:pPr>
      <w:r>
        <w:rPr/>
        <w:t>Ein vereinbarter Wertausgleich wird zum genannten Zeitpunkt gezahlt. Die Übergabe beider Gegenstände erfolgt Zug um Zug.</w:t>
      </w:r>
    </w:p>
    <w:p>
      <w:pPr>
        <w:pStyle w:val="BodyText"/>
        <w:numPr>
          <w:ilvl w:val="0"/>
          <w:numId w:val="1"/>
        </w:numPr>
        <w:tabs>
          <w:tab w:val="clear" w:pos="1134"/>
          <w:tab w:val="left" w:pos="113" w:leader="none"/>
        </w:tabs>
        <w:bidi w:val="0"/>
        <w:spacing w:before="113" w:after="113"/>
        <w:ind w:hanging="283" w:left="113" w:right="113"/>
        <w:jc w:val="left"/>
        <w:rPr/>
      </w:pPr>
      <w:r>
        <w:rPr/>
        <w:t>Mündliche Nebenabreden bestehen nicht. Der Vertrag wird zweifach ausgefertigt; jede Partei erhält ein unterschriebenes Original.</w:t>
      </w:r>
    </w:p>
    <w:p>
      <w:pPr>
        <w:pStyle w:val="BodyText"/>
        <w:bidi w:val="0"/>
        <w:spacing w:before="198" w:after="283"/>
        <w:ind w:hanging="0" w:left="0" w:right="0"/>
        <w:jc w:val="left"/>
        <w:rPr>
          <w:color w:val="555555"/>
          <w:sz w:val="13"/>
        </w:rPr>
      </w:pPr>
      <w:r>
        <w:rPr>
          <w:color w:val="555555"/>
          <w:sz w:val="13"/>
        </w:rPr>
        <w:t>Ort, Datum, Unterschrift Verkäufer</w:t>
      </w:r>
    </w:p>
    <w:p>
      <w:pPr>
        <w:pStyle w:val="BodyText"/>
        <w:bidi w:val="0"/>
        <w:spacing w:before="198" w:after="283"/>
        <w:ind w:hanging="0" w:left="0" w:right="0"/>
        <w:jc w:val="left"/>
        <w:rPr>
          <w:color w:val="555555"/>
          <w:sz w:val="13"/>
        </w:rPr>
      </w:pPr>
      <w:r>
        <w:rPr>
          <w:color w:val="555555"/>
          <w:sz w:val="13"/>
        </w:rPr>
        <w:t>Ort, Datum, Unterschrift Käufer</w:t>
      </w:r>
    </w:p>
    <w:p>
      <w:pPr>
        <w:pStyle w:val="BodyTextfoot"/>
        <w:bidi w:val="0"/>
        <w:spacing w:before="142" w:after="283"/>
        <w:jc w:val="left"/>
        <w:rPr/>
      </w:pPr>
      <w:r>
        <w:rPr/>
        <w:t>Allgemeine Vorlage, keine Rechtsberatung im Einzelfall. Bereitgestellt von kaufvertragzentrale.com</w:t>
      </w:r>
    </w:p>
    <w:sectPr>
      <w:type w:val="nextPage"/>
      <w:pgSz w:w="11906" w:h="16838"/>
      <w:pgMar w:left="737" w:right="737" w:gutter="0" w:header="0" w:top="567" w:footer="0" w:bottom="567"/>
      <w:pgNumType w:fmt="decimal"/>
      <w:formProt w:val="false"/>
      <w:textDirection w:val="lrTb"/>
      <w:docGrid w:type="default" w:linePitch="600" w:charSpace="4833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Helvetica Neue">
    <w:altName w:val="Helvetica"/>
    <w:charset w:val="01"/>
    <w:family w:val="auto"/>
    <w:pitch w:val="default"/>
  </w:font>
  <w:font w:name="Noto Sans">
    <w:charset w:val="01"/>
    <w:family w:val="auto"/>
    <w:pitch w:val="variable"/>
  </w:font>
  <w:font w:name="Liberation Sans">
    <w:altName w:val="Arial"/>
    <w:charset w:val="0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113"/>
        </w:tabs>
        <w:ind w:left="113" w:hanging="283"/>
      </w:pPr>
      <w:rPr/>
    </w:lvl>
    <w:lvl w:ilvl="1">
      <w:start w:val="1"/>
      <w:numFmt w:val="decimal"/>
      <w:lvlText w:val="%2."/>
      <w:lvlJc w:val="left"/>
      <w:pPr>
        <w:tabs>
          <w:tab w:val="num" w:pos="1418"/>
        </w:tabs>
        <w:ind w:left="1418" w:hanging="283"/>
      </w:pPr>
      <w:rPr/>
    </w:lvl>
    <w:lvl w:ilvl="2">
      <w:start w:val="1"/>
      <w:numFmt w:val="decimal"/>
      <w:lvlText w:val="%3."/>
      <w:lvlJc w:val="left"/>
      <w:pPr>
        <w:tabs>
          <w:tab w:val="num" w:pos="2127"/>
        </w:tabs>
        <w:ind w:left="2127" w:hanging="283"/>
      </w:pPr>
      <w:rPr/>
    </w:lvl>
    <w:lvl w:ilvl="3">
      <w:start w:val="1"/>
      <w:numFmt w:val="decimal"/>
      <w:lvlText w:val="%4."/>
      <w:lvlJc w:val="left"/>
      <w:pPr>
        <w:tabs>
          <w:tab w:val="num" w:pos="2836"/>
        </w:tabs>
        <w:ind w:left="2836" w:hanging="283"/>
      </w:pPr>
      <w:rPr/>
    </w:lvl>
    <w:lvl w:ilvl="4">
      <w:start w:val="1"/>
      <w:numFmt w:val="decimal"/>
      <w:lvlText w:val="%5."/>
      <w:lvlJc w:val="left"/>
      <w:pPr>
        <w:tabs>
          <w:tab w:val="num" w:pos="3545"/>
        </w:tabs>
        <w:ind w:left="3545" w:hanging="283"/>
      </w:pPr>
      <w:rPr/>
    </w:lvl>
    <w:lvl w:ilvl="5">
      <w:start w:val="1"/>
      <w:numFmt w:val="decimal"/>
      <w:lvlText w:val="%6."/>
      <w:lvlJc w:val="left"/>
      <w:pPr>
        <w:tabs>
          <w:tab w:val="num" w:pos="4254"/>
        </w:tabs>
        <w:ind w:left="4254" w:hanging="283"/>
      </w:pPr>
      <w:rPr/>
    </w:lvl>
    <w:lvl w:ilvl="6">
      <w:start w:val="1"/>
      <w:numFmt w:val="decimal"/>
      <w:lvlText w:val="%7."/>
      <w:lvlJc w:val="left"/>
      <w:pPr>
        <w:tabs>
          <w:tab w:val="num" w:pos="4963"/>
        </w:tabs>
        <w:ind w:left="4963" w:hanging="283"/>
      </w:pPr>
      <w:rPr/>
    </w:lvl>
    <w:lvl w:ilvl="7">
      <w:start w:val="1"/>
      <w:numFmt w:val="decimal"/>
      <w:lvlText w:val="%8."/>
      <w:lvlJc w:val="left"/>
      <w:pPr>
        <w:tabs>
          <w:tab w:val="num" w:pos="5672"/>
        </w:tabs>
        <w:ind w:left="5672" w:hanging="283"/>
      </w:pPr>
      <w:rPr/>
    </w:lvl>
    <w:lvl w:ilvl="8">
      <w:start w:val="1"/>
      <w:numFmt w:val="decimal"/>
      <w:lvlText w:val="%9."/>
      <w:lvlJc w:val="left"/>
      <w:pPr>
        <w:tabs>
          <w:tab w:val="num" w:pos="6381"/>
        </w:tabs>
        <w:ind w:left="6381" w:hanging="283"/>
      </w:pPr>
      <w:rPr/>
    </w:lvl>
  </w:abstractNum>
  <w:abstractNum w:abstractNumId="2">
    <w:lvl w:ilvl="0">
      <w:start w:val="1"/>
      <w:numFmt w:val="none"/>
      <w:suff w:val="nothing"/>
      <w:lvlText w:val="%1"/>
      <w:lvlJc w:val="left"/>
      <w:pPr>
        <w:tabs>
          <w:tab w:val="num" w:pos="0"/>
        </w:tabs>
        <w:ind w:left="0" w:hanging="0"/>
      </w:pPr>
    </w:lvl>
    <w:lvl w:ilvl="1">
      <w:start w:val="1"/>
      <w:pStyle w:val="Heading2"/>
      <w:numFmt w:val="none"/>
      <w:suff w:val="nothing"/>
      <w:lvlText w:val="%2"/>
      <w:lvlJc w:val="left"/>
      <w:pPr>
        <w:tabs>
          <w:tab w:val="num" w:pos="0"/>
        </w:tabs>
        <w:ind w:left="0" w:hanging="0"/>
      </w:pPr>
    </w:lvl>
    <w:lvl w:ilvl="2">
      <w:start w:val="1"/>
      <w:numFmt w:val="none"/>
      <w:suff w:val="nothing"/>
      <w:lvlText w:val="%3"/>
      <w:lvlJc w:val="left"/>
      <w:pPr>
        <w:tabs>
          <w:tab w:val="num" w:pos="0"/>
        </w:tabs>
        <w:ind w:left="0" w:hanging="0"/>
      </w:pPr>
    </w:lvl>
    <w:lvl w:ilvl="3">
      <w:start w:val="1"/>
      <w:numFmt w:val="none"/>
      <w:suff w:val="nothing"/>
      <w:lvlText w:val="%4"/>
      <w:lvlJc w:val="left"/>
      <w:pPr>
        <w:tabs>
          <w:tab w:val="num" w:pos="0"/>
        </w:tabs>
        <w:ind w:left="0" w:hanging="0"/>
      </w:pPr>
    </w:lvl>
    <w:lvl w:ilvl="4">
      <w:start w:val="1"/>
      <w:numFmt w:val="none"/>
      <w:suff w:val="nothing"/>
      <w:lvlText w:val="%5"/>
      <w:lvlJc w:val="left"/>
      <w:pPr>
        <w:tabs>
          <w:tab w:val="num" w:pos="0"/>
        </w:tabs>
        <w:ind w:left="0" w:hanging="0"/>
      </w:pPr>
    </w:lvl>
    <w:lvl w:ilvl="5">
      <w:start w:val="1"/>
      <w:numFmt w:val="none"/>
      <w:suff w:val="nothing"/>
      <w:lvlText w:val="%6"/>
      <w:lvlJc w:val="left"/>
      <w:pPr>
        <w:tabs>
          <w:tab w:val="num" w:pos="0"/>
        </w:tabs>
        <w:ind w:left="0" w:hanging="0"/>
      </w:pPr>
    </w:lvl>
    <w:lvl w:ilvl="6">
      <w:start w:val="1"/>
      <w:numFmt w:val="none"/>
      <w:suff w:val="nothing"/>
      <w:lvlText w:val="%7"/>
      <w:lvlJc w:val="left"/>
      <w:pPr>
        <w:tabs>
          <w:tab w:val="num" w:pos="0"/>
        </w:tabs>
        <w:ind w:left="0" w:hanging="0"/>
      </w:pPr>
    </w:lvl>
    <w:lvl w:ilvl="7">
      <w:start w:val="1"/>
      <w:numFmt w:val="none"/>
      <w:suff w:val="nothing"/>
      <w:lvlText w:val="%8"/>
      <w:lvlJc w:val="left"/>
      <w:pPr>
        <w:tabs>
          <w:tab w:val="num" w:pos="0"/>
        </w:tabs>
        <w:ind w:left="0" w:hanging="0"/>
      </w:pPr>
    </w:lvl>
    <w:lvl w:ilvl="8">
      <w:start w:val="1"/>
      <w:numFmt w:val="none"/>
      <w:suff w:val="nothing"/>
      <w:lvlText w:val="%9"/>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view w:val="web"/>
  <w:zoom w:percent="100"/>
  <w:defaultTabStop w:val="1134"/>
  <w:autoHyphenation w:val="true"/>
  <w:compat>
    <w:compatSetting w:name="compatibilityMode" w:uri="http://schemas.microsoft.com/office/word" w:val="12"/>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Noto Sans Devanagari"/>
        <w:sz w:val="24"/>
        <w:szCs w:val="24"/>
        <w:lang w:val="en-US" w:eastAsia="zh-CN" w:bidi="hi-IN"/>
      </w:rPr>
    </w:rPrDefault>
    <w:pPrDefault>
      <w:pPr>
        <w:suppressAutoHyphens w:val="true"/>
      </w:pPr>
    </w:pPrDefault>
  </w:docDefaults>
  <w:style w:type="paragraph" w:styleId="Normal">
    <w:name w:val="Normal"/>
    <w:qFormat/>
    <w:pPr>
      <w:widowControl w:val="false"/>
      <w:bidi w:val="0"/>
      <w:spacing w:lineRule="auto" w:line="292"/>
    </w:pPr>
    <w:rPr>
      <w:rFonts w:ascii="Helvetica Neue;Helvetica;Arial;sans-serif" w:hAnsi="Helvetica Neue;Helvetica;Arial;sans-serif" w:eastAsia="Helvetica Neue;Helvetica;Arial;sans-serif" w:cs="Helvetica Neue;Helvetica;Arial;sans-serif"/>
      <w:color w:val="1A1A1A"/>
      <w:sz w:val="16"/>
      <w:szCs w:val="16"/>
      <w:lang w:val="en-US" w:eastAsia="zh-CN" w:bidi="hi-IN"/>
    </w:rPr>
  </w:style>
  <w:style w:type="paragraph" w:styleId="Heading1">
    <w:name w:val="Heading 1"/>
    <w:basedOn w:val="Heading"/>
    <w:next w:val="BodyText"/>
    <w:qFormat/>
    <w:pPr/>
    <w:rPr>
      <w:rFonts w:ascii="Noto Sans" w:hAnsi="Noto Sans"/>
      <w:b/>
      <w:bCs/>
      <w:sz w:val="25"/>
      <w:szCs w:val="25"/>
    </w:rPr>
  </w:style>
  <w:style w:type="paragraph" w:styleId="Heading2">
    <w:name w:val="Heading 2"/>
    <w:basedOn w:val="Heading"/>
    <w:next w:val="BodyText"/>
    <w:qFormat/>
    <w:pPr>
      <w:spacing w:before="200" w:after="120"/>
      <w:outlineLvl w:val="1"/>
    </w:pPr>
    <w:rPr>
      <w:rFonts w:ascii="Liberation Serif" w:hAnsi="Liberation Serif" w:eastAsia="Noto Serif CJK SC" w:cs="Noto Sans Devanagari"/>
      <w:b/>
      <w:bCs/>
      <w:caps/>
      <w:sz w:val="16"/>
      <w:szCs w:val="16"/>
    </w:rPr>
  </w:style>
  <w:style w:type="character" w:styleId="EndnoteCharacters">
    <w:name w:val="Endnote Characters"/>
    <w:qFormat/>
    <w:rPr/>
  </w:style>
  <w:style w:type="character" w:styleId="FootnoteCharacters">
    <w:name w:val="Footnote Characters"/>
    <w:qFormat/>
    <w:rPr/>
  </w:style>
  <w:style w:type="character" w:styleId="Hyperlink">
    <w:name w:val="Hyperlink"/>
    <w:rPr>
      <w:color w:val="000080"/>
      <w:u w:val="single"/>
    </w:rPr>
  </w:style>
  <w:style w:type="character" w:styleId="NumberingSymbols">
    <w:name w:val="Numbering Symbols"/>
    <w:qFormat/>
    <w:rPr/>
  </w:style>
  <w:style w:type="paragraph" w:styleId="HorizontalLine">
    <w:name w:val="Horizontal Line"/>
    <w:basedOn w:val="Normal"/>
    <w:next w:val="BodyText"/>
    <w:qFormat/>
    <w:pPr>
      <w:pBdr>
        <w:bottom w:val="double" w:sz="2" w:space="0" w:color="808080"/>
      </w:pBdr>
      <w:spacing w:before="0" w:after="283"/>
    </w:pPr>
    <w:rPr>
      <w:sz w:val="12"/>
    </w:rPr>
  </w:style>
  <w:style w:type="paragraph" w:styleId="EnvelopeReturn">
    <w:name w:val="Envelope Return"/>
    <w:basedOn w:val="Normal"/>
    <w:pPr/>
    <w:rPr>
      <w:i/>
    </w:rPr>
  </w:style>
  <w:style w:type="paragraph" w:styleId="TableContents">
    <w:name w:val="Table Contents"/>
    <w:basedOn w:val="BodyText"/>
    <w:qFormat/>
    <w:pPr/>
    <w:rPr/>
  </w:style>
  <w:style w:type="paragraph" w:styleId="Footer">
    <w:name w:val="Footer"/>
    <w:basedOn w:val="Normal"/>
    <w:pPr>
      <w:suppressLineNumbers/>
      <w:tabs>
        <w:tab w:val="clear" w:pos="1134"/>
        <w:tab w:val="center" w:pos="4818" w:leader="none"/>
        <w:tab w:val="right" w:pos="9637" w:leader="none"/>
      </w:tabs>
    </w:pPr>
    <w:rPr/>
  </w:style>
  <w:style w:type="paragraph" w:styleId="Header">
    <w:name w:val="Header"/>
    <w:basedOn w:val="Normal"/>
    <w:pPr>
      <w:suppressLineNumbers/>
      <w:tabs>
        <w:tab w:val="clear" w:pos="1134"/>
        <w:tab w:val="center" w:pos="4818" w:leader="none"/>
        <w:tab w:val="right" w:pos="9637" w:leader="none"/>
      </w:tabs>
    </w:pPr>
    <w:rPr/>
  </w:style>
  <w:style w:type="paragraph" w:styleId="HeaderandFooter">
    <w:name w:val="Header and Footer"/>
    <w:basedOn w:val="Normal"/>
    <w:qFormat/>
    <w:pPr>
      <w:suppressLineNumbers/>
      <w:tabs>
        <w:tab w:val="clear" w:pos="1134"/>
        <w:tab w:val="center" w:pos="4819" w:leader="none"/>
        <w:tab w:val="right" w:pos="9638" w:leader="none"/>
      </w:tabs>
    </w:pPr>
    <w:rPr/>
  </w:style>
  <w:style w:type="paragraph" w:styleId="Index">
    <w:name w:val="Index"/>
    <w:basedOn w:val="Normal"/>
    <w:qFormat/>
    <w:pPr>
      <w:suppressLineNumbers/>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List">
    <w:name w:val="List"/>
    <w:basedOn w:val="BodyText"/>
    <w:pPr/>
    <w:rPr>
      <w:rFonts w:cs="Noto Sans Devanagari"/>
    </w:rPr>
  </w:style>
  <w:style w:type="paragraph" w:styleId="BodyText">
    <w:name w:val="Body Text"/>
    <w:basedOn w:val="Normal"/>
    <w:pPr>
      <w:spacing w:before="0" w:after="283"/>
    </w:pPr>
    <w:rPr/>
  </w:style>
  <w:style w:type="paragraph" w:styleId="Heading">
    <w:name w:val="Heading"/>
    <w:basedOn w:val="Normal"/>
    <w:next w:val="BodyText"/>
    <w:qFormat/>
    <w:pPr>
      <w:keepNext w:val="true"/>
      <w:spacing w:before="240" w:after="283"/>
    </w:pPr>
    <w:rPr>
      <w:rFonts w:ascii="Liberation Sans" w:hAnsi="Liberation Sans"/>
      <w:sz w:val="28"/>
      <w:szCs w:val="28"/>
    </w:rPr>
  </w:style>
  <w:style w:type="paragraph" w:styleId="BodyTextsub">
    <w:name w:val="Body Text.sub"/>
    <w:basedOn w:val="BodyText"/>
    <w:qFormat/>
    <w:pPr>
      <w:spacing w:before="0" w:after="113"/>
    </w:pPr>
    <w:rPr>
      <w:color w:val="555555"/>
      <w:sz w:val="14"/>
      <w:szCs w:val="14"/>
    </w:rPr>
  </w:style>
  <w:style w:type="paragraph" w:styleId="BodyTexthint">
    <w:name w:val="Body Text.hint"/>
    <w:basedOn w:val="BodyText"/>
    <w:qFormat/>
    <w:pPr>
      <w:spacing w:before="0" w:after="0"/>
      <w:ind w:left="0" w:right="0"/>
    </w:pPr>
    <w:rPr>
      <w:color w:val="666666"/>
      <w:sz w:val="13"/>
      <w:szCs w:val="13"/>
    </w:rPr>
  </w:style>
  <w:style w:type="paragraph" w:styleId="BodyTextfoot">
    <w:name w:val="Body Text.foot"/>
    <w:basedOn w:val="BodyText"/>
    <w:qFormat/>
    <w:pPr>
      <w:pBdr>
        <w:top w:val="single" w:sz="2" w:space="3" w:color="DDDDDD"/>
      </w:pBdr>
      <w:spacing w:before="142" w:after="283"/>
    </w:pPr>
    <w:rPr>
      <w:color w:val="777777"/>
      <w:sz w:val="12"/>
      <w:szCs w:val="12"/>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KaufvertragZentrale</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KaufvertragZentrale</dc:creator>
  <dc:description/>
  <dc:language>de-DE</dc:language>
  <cp:lastModifiedBy>KaufvertragZentrale</cp:lastModifiedBy>
  <cp:revision>0</cp:revision>
  <dc:subject/>
  <dc:title>Tauschvertrag</dc:title>
</cp:coreProperties>
</file>

<file path=docProps/custom.xml><?xml version="1.0" encoding="utf-8"?>
<Properties xmlns="http://schemas.openxmlformats.org/officeDocument/2006/custom-properties" xmlns:vt="http://schemas.openxmlformats.org/officeDocument/2006/docPropsVTypes"/>
</file>