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283"/>
        <w:jc w:val="left"/>
        <w:rPr/>
      </w:pPr>
      <w:r>
        <w:rPr/>
        <w:t>Kaufvertrag für einen gebrauchten Anhänger</w:t>
      </w:r>
    </w:p>
    <w:p>
      <w:pPr>
        <w:pStyle w:val="BodyTextsub"/>
        <w:bidi w:val="0"/>
        <w:jc w:val="left"/>
        <w:rPr/>
      </w:pPr>
      <w:r>
        <w:rPr/>
        <w:t>Für den privaten Verkauf zwischen Privatpersonen · Pkw-Anhänger und Pferdeanhänger</w:t>
      </w:r>
    </w:p>
    <w:p>
      <w:pPr>
        <w:pStyle w:val="Heading2"/>
        <w:bidi w:val="0"/>
        <w:ind w:hanging="0" w:left="0" w:right="0"/>
        <w:jc w:val="left"/>
        <w:rPr/>
      </w:pPr>
      <w:r>
        <w:rPr/>
        <w:t>Verkäufer (privat)</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Käufer</w:t>
      </w:r>
    </w:p>
    <w:p>
      <w:pPr>
        <w:pStyle w:val="BodyText"/>
        <w:bidi w:val="0"/>
        <w:spacing w:before="0" w:after="0"/>
        <w:ind w:hanging="0" w:left="0" w:right="0"/>
        <w:jc w:val="left"/>
        <w:rPr>
          <w:color w:val="444444"/>
          <w:sz w:val="14"/>
        </w:rPr>
      </w:pPr>
      <w:r>
        <w:rPr>
          <w:color w:val="444444"/>
          <w:sz w:val="14"/>
        </w:rPr>
        <w:t>Name, Vorname</w:t>
      </w:r>
    </w:p>
    <w:p>
      <w:pPr>
        <w:pStyle w:val="BodyText"/>
        <w:bidi w:val="0"/>
        <w:spacing w:before="0" w:after="0"/>
        <w:ind w:hanging="0" w:left="0" w:right="0"/>
        <w:jc w:val="left"/>
        <w:rPr>
          <w:color w:val="444444"/>
          <w:sz w:val="14"/>
        </w:rPr>
      </w:pPr>
      <w:r>
        <w:rPr>
          <w:color w:val="444444"/>
          <w:sz w:val="14"/>
        </w:rPr>
        <w:t>Straße, Hausnummer</w:t>
      </w:r>
    </w:p>
    <w:p>
      <w:pPr>
        <w:pStyle w:val="BodyText"/>
        <w:bidi w:val="0"/>
        <w:spacing w:before="0" w:after="85"/>
        <w:ind w:hanging="0" w:left="0" w:right="0"/>
        <w:jc w:val="left"/>
        <w:rPr>
          <w:color w:val="444444"/>
          <w:sz w:val="14"/>
        </w:rPr>
      </w:pPr>
      <w:r>
        <w:rPr>
          <w:color w:val="444444"/>
          <w:sz w:val="14"/>
        </w:rPr>
        <w:t>PLZ, Ort</w:t>
      </w:r>
    </w:p>
    <w:p>
      <w:pPr>
        <w:pStyle w:val="BodyText"/>
        <w:bidi w:val="0"/>
        <w:spacing w:before="0" w:after="85"/>
        <w:ind w:hanging="0" w:left="0" w:right="0"/>
        <w:jc w:val="left"/>
        <w:rPr>
          <w:color w:val="444444"/>
          <w:sz w:val="14"/>
        </w:rPr>
      </w:pPr>
      <w:r>
        <w:rPr>
          <w:color w:val="444444"/>
          <w:sz w:val="14"/>
        </w:rPr>
        <w:t>Telefon</w:t>
      </w:r>
    </w:p>
    <w:p>
      <w:pPr>
        <w:pStyle w:val="BodyText"/>
        <w:bidi w:val="0"/>
        <w:ind w:hanging="0" w:left="0" w:right="0"/>
        <w:jc w:val="left"/>
        <w:rPr>
          <w:color w:val="444444"/>
          <w:sz w:val="14"/>
        </w:rPr>
      </w:pPr>
      <w:r>
        <w:rPr>
          <w:color w:val="444444"/>
          <w:sz w:val="14"/>
        </w:rPr>
        <w:t>Ausweisnummer und ausstellende Behörde</w:t>
      </w:r>
    </w:p>
    <w:p>
      <w:pPr>
        <w:pStyle w:val="Heading2"/>
        <w:bidi w:val="0"/>
        <w:jc w:val="left"/>
        <w:rPr/>
      </w:pPr>
      <w:r>
        <w:rPr/>
        <w:t>Kaufgegenstand: Anhänger</w:t>
      </w:r>
    </w:p>
    <w:p>
      <w:pPr>
        <w:pStyle w:val="BodyTexthint"/>
        <w:bidi w:val="0"/>
        <w:spacing w:before="0" w:after="283"/>
        <w:jc w:val="left"/>
        <w:rPr/>
      </w:pPr>
      <w:r>
        <w:rPr/>
        <w:t>Die FIN steht in der Zulassungsbescheinigung und am Fahrzeug. Den Fahrzeugbrief (Teil II) erst nach vollständiger Zahlung übergeben — er ist der Eigentumsnachweis.</w:t>
      </w:r>
    </w:p>
    <w:p>
      <w:pPr>
        <w:pStyle w:val="BodyText"/>
        <w:bidi w:val="0"/>
        <w:spacing w:before="0" w:after="85"/>
        <w:ind w:hanging="0" w:left="0" w:right="0"/>
        <w:jc w:val="left"/>
        <w:rPr>
          <w:color w:val="444444"/>
          <w:sz w:val="14"/>
        </w:rPr>
      </w:pPr>
      <w:r>
        <w:rPr>
          <w:color w:val="444444"/>
          <w:sz w:val="14"/>
        </w:rPr>
        <w:t>Hersteller / Marke</w:t>
      </w:r>
    </w:p>
    <w:p>
      <w:pPr>
        <w:pStyle w:val="BodyText"/>
        <w:bidi w:val="0"/>
        <w:spacing w:before="0" w:after="85"/>
        <w:ind w:hanging="0" w:left="0" w:right="0"/>
        <w:jc w:val="left"/>
        <w:rPr>
          <w:color w:val="444444"/>
          <w:sz w:val="14"/>
        </w:rPr>
      </w:pPr>
      <w:r>
        <w:rPr>
          <w:color w:val="444444"/>
          <w:sz w:val="14"/>
        </w:rPr>
        <w:t>Modellbezeichnung</w:t>
      </w:r>
    </w:p>
    <w:p>
      <w:pPr>
        <w:pStyle w:val="BodyText"/>
        <w:bidi w:val="0"/>
        <w:spacing w:before="0" w:after="0"/>
        <w:ind w:hanging="0" w:left="0" w:right="0"/>
        <w:jc w:val="left"/>
        <w:rPr>
          <w:color w:val="444444"/>
          <w:sz w:val="14"/>
        </w:rPr>
      </w:pPr>
      <w:r>
        <w:rPr>
          <w:color w:val="444444"/>
          <w:sz w:val="14"/>
        </w:rPr>
        <w:t>Fahrzeug-Identifizierungsnummer (FIN)</w:t>
      </w:r>
    </w:p>
    <w:p>
      <w:pPr>
        <w:pStyle w:val="BodyText"/>
        <w:bidi w:val="0"/>
        <w:spacing w:before="0" w:after="85"/>
        <w:ind w:hanging="0" w:left="0" w:right="0"/>
        <w:jc w:val="left"/>
        <w:rPr>
          <w:color w:val="444444"/>
          <w:sz w:val="14"/>
        </w:rPr>
      </w:pPr>
      <w:r>
        <w:rPr>
          <w:color w:val="444444"/>
          <w:sz w:val="14"/>
        </w:rPr>
        <w:t>Zulassungsbescheinigung Teil II — Nummer</w:t>
      </w:r>
    </w:p>
    <w:p>
      <w:pPr>
        <w:pStyle w:val="BodyText"/>
        <w:bidi w:val="0"/>
        <w:spacing w:before="0" w:after="85"/>
        <w:ind w:hanging="0" w:left="0" w:right="0"/>
        <w:jc w:val="left"/>
        <w:rPr>
          <w:color w:val="444444"/>
          <w:sz w:val="14"/>
        </w:rPr>
      </w:pPr>
      <w:r>
        <w:rPr>
          <w:color w:val="444444"/>
          <w:sz w:val="14"/>
        </w:rPr>
        <w:t>Amtliches Kennzeichen</w:t>
      </w:r>
    </w:p>
    <w:p>
      <w:pPr>
        <w:pStyle w:val="BodyText"/>
        <w:bidi w:val="0"/>
        <w:spacing w:before="0" w:after="85"/>
        <w:ind w:hanging="0" w:left="0" w:right="0"/>
        <w:jc w:val="left"/>
        <w:rPr>
          <w:color w:val="444444"/>
          <w:sz w:val="14"/>
        </w:rPr>
      </w:pPr>
      <w:r>
        <w:rPr>
          <w:color w:val="444444"/>
          <w:sz w:val="14"/>
        </w:rPr>
        <w:t>Datum der Erstzulassung</w:t>
      </w:r>
    </w:p>
    <w:p>
      <w:pPr>
        <w:pStyle w:val="BodyText"/>
        <w:bidi w:val="0"/>
        <w:spacing w:before="0" w:after="85"/>
        <w:ind w:hanging="0" w:left="0" w:right="0"/>
        <w:jc w:val="left"/>
        <w:rPr>
          <w:color w:val="444444"/>
          <w:sz w:val="14"/>
        </w:rPr>
      </w:pPr>
      <w:r>
        <w:rPr>
          <w:color w:val="444444"/>
          <w:sz w:val="14"/>
        </w:rPr>
        <w:t>Kilometerstand</w:t>
      </w:r>
    </w:p>
    <w:p>
      <w:pPr>
        <w:pStyle w:val="BodyText"/>
        <w:bidi w:val="0"/>
        <w:spacing w:before="0" w:after="85"/>
        <w:ind w:hanging="0" w:left="0" w:right="0"/>
        <w:jc w:val="left"/>
        <w:rPr>
          <w:color w:val="444444"/>
          <w:sz w:val="14"/>
        </w:rPr>
      </w:pPr>
      <w:r>
        <w:rPr>
          <w:color w:val="444444"/>
          <w:sz w:val="14"/>
        </w:rPr>
        <w:t>Hauptuntersuchung gültig bis</w:t>
      </w:r>
    </w:p>
    <w:p>
      <w:pPr>
        <w:pStyle w:val="BodyText"/>
        <w:bidi w:val="0"/>
        <w:spacing w:before="0" w:after="85"/>
        <w:ind w:hanging="0" w:left="0" w:right="0"/>
        <w:jc w:val="left"/>
        <w:rPr>
          <w:color w:val="444444"/>
          <w:sz w:val="14"/>
        </w:rPr>
      </w:pPr>
      <w:r>
        <w:rPr>
          <w:color w:val="444444"/>
          <w:sz w:val="14"/>
        </w:rPr>
        <w:t>Anzahl der Schlüssel</w:t>
      </w:r>
    </w:p>
    <w:p>
      <w:pPr>
        <w:pStyle w:val="BodyText"/>
        <w:bidi w:val="0"/>
        <w:spacing w:before="0" w:after="85"/>
        <w:ind w:hanging="0" w:left="0" w:right="0"/>
        <w:jc w:val="left"/>
        <w:rPr>
          <w:color w:val="444444"/>
          <w:sz w:val="14"/>
        </w:rPr>
      </w:pPr>
      <w:r>
        <w:rPr>
          <w:color w:val="444444"/>
          <w:sz w:val="14"/>
        </w:rPr>
        <w:t>Zulässiges Gesamtgewicht (kg)</w:t>
      </w:r>
    </w:p>
    <w:p>
      <w:pPr>
        <w:pStyle w:val="BodyText"/>
        <w:bidi w:val="0"/>
        <w:spacing w:before="0" w:after="85"/>
        <w:ind w:hanging="0" w:left="0" w:right="0"/>
        <w:jc w:val="left"/>
        <w:rPr>
          <w:color w:val="444444"/>
          <w:sz w:val="14"/>
        </w:rPr>
      </w:pPr>
      <w:r>
        <w:rPr>
          <w:color w:val="444444"/>
          <w:sz w:val="14"/>
        </w:rPr>
        <w:t>Nutzlast (kg)</w:t>
      </w:r>
    </w:p>
    <w:p>
      <w:pPr>
        <w:pStyle w:val="BodyText"/>
        <w:bidi w:val="0"/>
        <w:spacing w:before="0" w:after="0"/>
        <w:ind w:hanging="0" w:left="0" w:right="0"/>
        <w:jc w:val="left"/>
        <w:rPr>
          <w:color w:val="444444"/>
          <w:sz w:val="14"/>
        </w:rPr>
      </w:pPr>
      <w:r>
        <w:rPr>
          <w:color w:val="444444"/>
          <w:sz w:val="14"/>
        </w:rPr>
        <w:t>Zustand, Zubehör und bekannte Mängel</w:t>
      </w:r>
    </w:p>
    <w:p>
      <w:pPr>
        <w:pStyle w:val="BodyText"/>
        <w:bidi w:val="0"/>
        <w:ind w:hanging="0" w:left="0" w:right="0"/>
        <w:jc w:val="left"/>
        <w:rPr>
          <w:color w:val="444444"/>
          <w:sz w:val="14"/>
        </w:rPr>
      </w:pPr>
      <w:r>
        <w:rPr>
          <w:color w:val="444444"/>
          <w:sz w:val="14"/>
        </w:rPr>
        <w:t>Unfallschaden</w:t>
      </w:r>
    </w:p>
    <w:p>
      <w:pPr>
        <w:pStyle w:val="Heading2"/>
        <w:bidi w:val="0"/>
        <w:jc w:val="left"/>
        <w:rPr/>
      </w:pPr>
      <w:r>
        <w:rPr/>
        <w:t>Kaufpreis und Übergabe</w:t>
      </w:r>
    </w:p>
    <w:p>
      <w:pPr>
        <w:pStyle w:val="BodyText"/>
        <w:bidi w:val="0"/>
        <w:spacing w:before="0" w:after="85"/>
        <w:ind w:hanging="0" w:left="0" w:right="0"/>
        <w:jc w:val="left"/>
        <w:rPr>
          <w:color w:val="444444"/>
          <w:sz w:val="14"/>
        </w:rPr>
      </w:pPr>
      <w:r>
        <w:rPr>
          <w:color w:val="444444"/>
          <w:sz w:val="14"/>
        </w:rPr>
        <w:t>Kaufpreis in Ziffern (€)</w:t>
      </w:r>
    </w:p>
    <w:p>
      <w:pPr>
        <w:pStyle w:val="BodyText"/>
        <w:bidi w:val="0"/>
        <w:spacing w:before="0" w:after="85"/>
        <w:ind w:hanging="0" w:left="0" w:right="0"/>
        <w:jc w:val="left"/>
        <w:rPr>
          <w:color w:val="444444"/>
          <w:sz w:val="14"/>
        </w:rPr>
      </w:pPr>
      <w:r>
        <w:rPr>
          <w:color w:val="444444"/>
          <w:sz w:val="14"/>
        </w:rPr>
        <w:t>Kaufpreis in Worten</w:t>
      </w:r>
    </w:p>
    <w:p>
      <w:pPr>
        <w:pStyle w:val="BodyText"/>
        <w:bidi w:val="0"/>
        <w:spacing w:before="0" w:after="85"/>
        <w:ind w:hanging="0" w:left="0" w:right="0"/>
        <w:jc w:val="left"/>
        <w:rPr>
          <w:color w:val="444444"/>
          <w:sz w:val="14"/>
        </w:rPr>
      </w:pPr>
      <w:r>
        <w:rPr>
          <w:color w:val="444444"/>
          <w:sz w:val="14"/>
        </w:rPr>
        <w:t>Zahlungsart</w:t>
      </w:r>
    </w:p>
    <w:p>
      <w:pPr>
        <w:pStyle w:val="BodyText"/>
        <w:bidi w:val="0"/>
        <w:spacing w:before="0" w:after="85"/>
        <w:ind w:hanging="0" w:left="0" w:right="0"/>
        <w:jc w:val="left"/>
        <w:rPr>
          <w:color w:val="444444"/>
          <w:sz w:val="14"/>
        </w:rPr>
      </w:pPr>
      <w:r>
        <w:rPr>
          <w:color w:val="444444"/>
          <w:sz w:val="14"/>
        </w:rPr>
        <w:t>Datum der Übergabe</w:t>
      </w:r>
    </w:p>
    <w:p>
      <w:pPr>
        <w:pStyle w:val="BodyText"/>
        <w:bidi w:val="0"/>
        <w:ind w:hanging="0" w:left="0" w:right="0"/>
        <w:jc w:val="left"/>
        <w:rPr>
          <w:color w:val="444444"/>
          <w:sz w:val="14"/>
        </w:rPr>
      </w:pPr>
      <w:r>
        <w:rPr>
          <w:color w:val="444444"/>
          <w:sz w:val="14"/>
        </w:rPr>
        <w:t>Ort und Datum des Vertragsschlusses</w:t>
      </w:r>
    </w:p>
    <w:p>
      <w:pPr>
        <w:pStyle w:val="Heading2"/>
        <w:bidi w:val="0"/>
        <w:jc w:val="left"/>
        <w:rPr/>
      </w:pPr>
      <w:r>
        <w:rPr/>
        <w:t>Vertragsbedingungen</w:t>
      </w:r>
    </w:p>
    <w:p>
      <w:pPr>
        <w:pStyle w:val="BodyText"/>
        <w:numPr>
          <w:ilvl w:val="0"/>
          <w:numId w:val="1"/>
        </w:numPr>
        <w:tabs>
          <w:tab w:val="clear" w:pos="1134"/>
          <w:tab w:val="left" w:pos="113" w:leader="none"/>
        </w:tabs>
        <w:bidi w:val="0"/>
        <w:spacing w:before="113" w:after="113"/>
        <w:ind w:hanging="283" w:left="113" w:right="113"/>
        <w:jc w:val="left"/>
        <w:rPr/>
      </w:pPr>
      <w:r>
        <w:rPr/>
        <w:t>Der Verkäufer verkauft dem Käufer den oben bezeichneten Kaufgegenstand und überträgt ihm das Eigentum daran; der Käufer zahlt den vereinbarten Kaufpreis und nimmt den Kaufgegenstand ab (§ 433 BGB).</w:t>
      </w:r>
    </w:p>
    <w:p>
      <w:pPr>
        <w:pStyle w:val="BodyText"/>
        <w:numPr>
          <w:ilvl w:val="0"/>
          <w:numId w:val="1"/>
        </w:numPr>
        <w:tabs>
          <w:tab w:val="clear" w:pos="1134"/>
          <w:tab w:val="left" w:pos="113" w:leader="none"/>
        </w:tabs>
        <w:bidi w:val="0"/>
        <w:spacing w:before="113" w:after="113"/>
        <w:ind w:hanging="283" w:left="113" w:right="113"/>
        <w:jc w:val="left"/>
        <w:rPr/>
      </w:pPr>
      <w:r>
        <w:rPr/>
        <w:t>Der Verkäufer versichert, dass der Kaufgegenstand sein uneingeschränktes Eigentum ist und dass keine Rechte Dritter daran bestehen.</w:t>
      </w:r>
    </w:p>
    <w:p>
      <w:pPr>
        <w:pStyle w:val="BodyText"/>
        <w:numPr>
          <w:ilvl w:val="0"/>
          <w:numId w:val="1"/>
        </w:numPr>
        <w:tabs>
          <w:tab w:val="clear" w:pos="1134"/>
          <w:tab w:val="left" w:pos="113" w:leader="none"/>
        </w:tabs>
        <w:bidi w:val="0"/>
        <w:spacing w:before="113" w:after="113"/>
        <w:ind w:hanging="283" w:left="113" w:right="113"/>
        <w:jc w:val="left"/>
        <w:rPr/>
      </w:pPr>
      <w:r>
        <w:rPr/>
        <w:t>Der Verkauf erfolgt unter Ausschluss der Haftung für Sach- und Rechtsmängel. Der Ausschluss gilt nicht, soweit der Verkäufer einen Mangel arglistig verschwiegen oder eine Garantie für die Beschaffenheit der Sache übernommen hat (§ 444 BGB). Die Haftung wegen Vorsatzes kann nicht im Voraus ausgeschlossen werden (§ 276 Absatz 3 BGB); unberührt bleibt außerdem die Haftung für Schäden aus der Verletzung des Lebens, des Körpers oder der Gesundheit.</w:t>
      </w:r>
    </w:p>
    <w:p>
      <w:pPr>
        <w:pStyle w:val="BodyText"/>
        <w:numPr>
          <w:ilvl w:val="0"/>
          <w:numId w:val="1"/>
        </w:numPr>
        <w:tabs>
          <w:tab w:val="clear" w:pos="1134"/>
          <w:tab w:val="left" w:pos="113" w:leader="none"/>
        </w:tabs>
        <w:bidi w:val="0"/>
        <w:spacing w:before="113" w:after="113"/>
        <w:ind w:hanging="283" w:left="113" w:right="113"/>
        <w:jc w:val="left"/>
        <w:rPr/>
      </w:pPr>
      <w:r>
        <w:rPr/>
        <w:t>Der Kaufgegenstand wird gebraucht und nach Besichtigung sowie Probefahrt verkauft.</w:t>
      </w:r>
    </w:p>
    <w:p>
      <w:pPr>
        <w:pStyle w:val="BodyText"/>
        <w:numPr>
          <w:ilvl w:val="0"/>
          <w:numId w:val="1"/>
        </w:numPr>
        <w:tabs>
          <w:tab w:val="clear" w:pos="1134"/>
          <w:tab w:val="left" w:pos="113" w:leader="none"/>
        </w:tabs>
        <w:bidi w:val="0"/>
        <w:spacing w:before="113" w:after="113"/>
        <w:ind w:hanging="283" w:left="113" w:right="113"/>
        <w:jc w:val="left"/>
        <w:rPr/>
      </w:pPr>
      <w:r>
        <w:rPr/>
        <w:t>Der Verkäufer erklärt nach bestem Wissen, dass das Fahrzeug die oben angegebene Unfallhistorie aufweist und dass der abgelesene Kilometerstand der tatsächlichen Laufleistung entspricht.</w:t>
      </w:r>
    </w:p>
    <w:p>
      <w:pPr>
        <w:pStyle w:val="BodyText"/>
        <w:numPr>
          <w:ilvl w:val="0"/>
          <w:numId w:val="1"/>
        </w:numPr>
        <w:tabs>
          <w:tab w:val="clear" w:pos="1134"/>
          <w:tab w:val="left" w:pos="113" w:leader="none"/>
        </w:tabs>
        <w:bidi w:val="0"/>
        <w:spacing w:before="113" w:after="113"/>
        <w:ind w:hanging="283" w:left="113" w:right="113"/>
        <w:jc w:val="left"/>
        <w:rPr/>
      </w:pPr>
      <w:r>
        <w:rPr/>
        <w:t>Mit der Übergabe erhält der Käufer das Fahrzeug, die Zulassungsbescheinigung Teil I und Teil II sowie die oben angegebene Anzahl Schlüssel.</w:t>
      </w:r>
    </w:p>
    <w:p>
      <w:pPr>
        <w:pStyle w:val="BodyText"/>
        <w:numPr>
          <w:ilvl w:val="0"/>
          <w:numId w:val="1"/>
        </w:numPr>
        <w:tabs>
          <w:tab w:val="clear" w:pos="1134"/>
          <w:tab w:val="left" w:pos="113" w:leader="none"/>
        </w:tabs>
        <w:bidi w:val="0"/>
        <w:spacing w:before="113" w:after="113"/>
        <w:ind w:hanging="283" w:left="113" w:right="113"/>
        <w:jc w:val="left"/>
        <w:rPr/>
      </w:pPr>
      <w:r>
        <w:rPr/>
        <w:t>Beide Parteien wirken an der Um- oder Abmeldung mit. Der Käufer meldet das Fahrzeug unverzüglich auf seinen Namen um.</w:t>
      </w:r>
    </w:p>
    <w:p>
      <w:pPr>
        <w:pStyle w:val="BodyText"/>
        <w:numPr>
          <w:ilvl w:val="0"/>
          <w:numId w:val="1"/>
        </w:numPr>
        <w:tabs>
          <w:tab w:val="clear" w:pos="1134"/>
          <w:tab w:val="left" w:pos="113" w:leader="none"/>
        </w:tabs>
        <w:bidi w:val="0"/>
        <w:spacing w:before="113" w:after="113"/>
        <w:ind w:hanging="283" w:left="113" w:right="113"/>
        <w:jc w:val="left"/>
        <w:rPr/>
      </w:pPr>
      <w:r>
        <w:rPr/>
        <w:t>Der Kaufgegenstand bleibt bis zur vollständigen Zahlung des Kaufpreises Eigentum des Verkäufers.</w:t>
      </w:r>
    </w:p>
    <w:p>
      <w:pPr>
        <w:pStyle w:val="BodyText"/>
        <w:numPr>
          <w:ilvl w:val="0"/>
          <w:numId w:val="1"/>
        </w:numPr>
        <w:tabs>
          <w:tab w:val="clear" w:pos="1134"/>
          <w:tab w:val="left" w:pos="113" w:leader="none"/>
        </w:tabs>
        <w:bidi w:val="0"/>
        <w:spacing w:before="113" w:after="113"/>
        <w:ind w:hanging="283" w:left="113" w:right="113"/>
        <w:jc w:val="left"/>
        <w:rPr/>
      </w:pPr>
      <w:r>
        <w:rPr/>
        <w:t>Mündliche Nebenabreden bestehen nicht. Der Vertrag wird zweifach ausgefertigt; jede Partei erhält ein unterschriebenes Original.</w:t>
      </w:r>
    </w:p>
    <w:p>
      <w:pPr>
        <w:pStyle w:val="BodyText"/>
        <w:bidi w:val="0"/>
        <w:spacing w:before="198" w:after="283"/>
        <w:ind w:hanging="0" w:left="0" w:right="0"/>
        <w:jc w:val="left"/>
        <w:rPr>
          <w:color w:val="555555"/>
          <w:sz w:val="13"/>
        </w:rPr>
      </w:pPr>
      <w:r>
        <w:rPr>
          <w:color w:val="555555"/>
          <w:sz w:val="13"/>
        </w:rPr>
        <w:t>Ort, Datum, Unterschrift Verkäufer</w:t>
      </w:r>
    </w:p>
    <w:p>
      <w:pPr>
        <w:pStyle w:val="BodyText"/>
        <w:bidi w:val="0"/>
        <w:spacing w:before="198" w:after="283"/>
        <w:ind w:hanging="0" w:left="0" w:right="0"/>
        <w:jc w:val="left"/>
        <w:rPr>
          <w:color w:val="555555"/>
          <w:sz w:val="13"/>
        </w:rPr>
      </w:pPr>
      <w:r>
        <w:rPr>
          <w:color w:val="555555"/>
          <w:sz w:val="13"/>
        </w:rPr>
        <w:t>Ort, Datum, Unterschrift Käufer</w:t>
      </w:r>
    </w:p>
    <w:p>
      <w:pPr>
        <w:pStyle w:val="BodyTextfoot"/>
        <w:bidi w:val="0"/>
        <w:spacing w:before="142" w:after="283"/>
        <w:jc w:val="left"/>
        <w:rPr/>
      </w:pPr>
      <w:r>
        <w:rPr/>
        <w:t>Allgemeine Vorlage, keine Rechtsberatung im Einzelfall. Bereitgestellt von kaufvertragzentrale.com</w:t>
      </w:r>
    </w:p>
    <w:sectPr>
      <w:type w:val="nextPage"/>
      <w:pgSz w:w="11906" w:h="16838"/>
      <w:pgMar w:left="737" w:right="737" w:gutter="0" w:header="0" w:top="567" w:footer="0" w:bottom="567"/>
      <w:pgNumType w:fmt="decimal"/>
      <w:formProt w:val="false"/>
      <w:textDirection w:val="lrTb"/>
      <w:docGrid w:type="default" w:linePitch="600" w:charSpace="4833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Helvetica Neue">
    <w:altName w:val="Helvetica"/>
    <w:charset w:val="01"/>
    <w:family w:val="auto"/>
    <w:pitch w:val="default"/>
  </w:font>
  <w:font w:name="Noto Sans">
    <w:charset w:val="01"/>
    <w:family w:val="auto"/>
    <w:pitch w:val="variable"/>
  </w:font>
  <w:font w:name="Liberation Sans">
    <w:altName w:val="Arial"/>
    <w:charset w:val="01"/>
    <w:family w:val="swiss"/>
    <w:pitch w:val="variable"/>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113"/>
        </w:tabs>
        <w:ind w:left="113" w:hanging="283"/>
      </w:pPr>
      <w:rPr/>
    </w:lvl>
    <w:lvl w:ilvl="1">
      <w:start w:val="1"/>
      <w:numFmt w:val="decimal"/>
      <w:lvlText w:val="%2."/>
      <w:lvlJc w:val="left"/>
      <w:pPr>
        <w:tabs>
          <w:tab w:val="num" w:pos="1418"/>
        </w:tabs>
        <w:ind w:left="1418" w:hanging="283"/>
      </w:pPr>
      <w:rPr/>
    </w:lvl>
    <w:lvl w:ilvl="2">
      <w:start w:val="1"/>
      <w:numFmt w:val="decimal"/>
      <w:lvlText w:val="%3."/>
      <w:lvlJc w:val="left"/>
      <w:pPr>
        <w:tabs>
          <w:tab w:val="num" w:pos="2127"/>
        </w:tabs>
        <w:ind w:left="2127" w:hanging="283"/>
      </w:pPr>
      <w:rPr/>
    </w:lvl>
    <w:lvl w:ilvl="3">
      <w:start w:val="1"/>
      <w:numFmt w:val="decimal"/>
      <w:lvlText w:val="%4."/>
      <w:lvlJc w:val="left"/>
      <w:pPr>
        <w:tabs>
          <w:tab w:val="num" w:pos="2836"/>
        </w:tabs>
        <w:ind w:left="2836" w:hanging="283"/>
      </w:pPr>
      <w:rPr/>
    </w:lvl>
    <w:lvl w:ilvl="4">
      <w:start w:val="1"/>
      <w:numFmt w:val="decimal"/>
      <w:lvlText w:val="%5."/>
      <w:lvlJc w:val="left"/>
      <w:pPr>
        <w:tabs>
          <w:tab w:val="num" w:pos="3545"/>
        </w:tabs>
        <w:ind w:left="3545" w:hanging="283"/>
      </w:pPr>
      <w:rPr/>
    </w:lvl>
    <w:lvl w:ilvl="5">
      <w:start w:val="1"/>
      <w:numFmt w:val="decimal"/>
      <w:lvlText w:val="%6."/>
      <w:lvlJc w:val="left"/>
      <w:pPr>
        <w:tabs>
          <w:tab w:val="num" w:pos="4254"/>
        </w:tabs>
        <w:ind w:left="4254" w:hanging="283"/>
      </w:pPr>
      <w:rPr/>
    </w:lvl>
    <w:lvl w:ilvl="6">
      <w:start w:val="1"/>
      <w:numFmt w:val="decimal"/>
      <w:lvlText w:val="%7."/>
      <w:lvlJc w:val="left"/>
      <w:pPr>
        <w:tabs>
          <w:tab w:val="num" w:pos="4963"/>
        </w:tabs>
        <w:ind w:left="4963" w:hanging="283"/>
      </w:pPr>
      <w:rPr/>
    </w:lvl>
    <w:lvl w:ilvl="7">
      <w:start w:val="1"/>
      <w:numFmt w:val="decimal"/>
      <w:lvlText w:val="%8."/>
      <w:lvlJc w:val="left"/>
      <w:pPr>
        <w:tabs>
          <w:tab w:val="num" w:pos="5672"/>
        </w:tabs>
        <w:ind w:left="5672" w:hanging="283"/>
      </w:pPr>
      <w:rPr/>
    </w:lvl>
    <w:lvl w:ilvl="8">
      <w:start w:val="1"/>
      <w:numFmt w:val="decimal"/>
      <w:lvlText w:val="%9."/>
      <w:lvlJc w:val="left"/>
      <w:pPr>
        <w:tabs>
          <w:tab w:val="num" w:pos="6381"/>
        </w:tabs>
        <w:ind w:left="6381" w:hanging="283"/>
      </w:pPr>
      <w:rPr/>
    </w:lvl>
  </w:abstractNum>
  <w:abstractNum w:abstractNumId="2">
    <w:lvl w:ilvl="0">
      <w:start w:val="1"/>
      <w:numFmt w:val="none"/>
      <w:suff w:val="nothing"/>
      <w:lvlText w:val="%1"/>
      <w:lvlJc w:val="left"/>
      <w:pPr>
        <w:tabs>
          <w:tab w:val="num" w:pos="0"/>
        </w:tabs>
        <w:ind w:left="0" w:hanging="0"/>
      </w:pPr>
    </w:lvl>
    <w:lvl w:ilvl="1">
      <w:start w:val="1"/>
      <w:pStyle w:val="Heading2"/>
      <w:numFmt w:val="none"/>
      <w:suff w:val="nothing"/>
      <w:lvlText w:val="%2"/>
      <w:lvlJc w:val="left"/>
      <w:pPr>
        <w:tabs>
          <w:tab w:val="num" w:pos="0"/>
        </w:tabs>
        <w:ind w:left="0" w:hanging="0"/>
      </w:pPr>
    </w:lvl>
    <w:lvl w:ilvl="2">
      <w:start w:val="1"/>
      <w:numFmt w:val="none"/>
      <w:suff w:val="nothing"/>
      <w:lvlText w:val="%3"/>
      <w:lvlJc w:val="left"/>
      <w:pPr>
        <w:tabs>
          <w:tab w:val="num" w:pos="0"/>
        </w:tabs>
        <w:ind w:left="0" w:hanging="0"/>
      </w:pPr>
    </w:lvl>
    <w:lvl w:ilvl="3">
      <w:start w:val="1"/>
      <w:numFmt w:val="none"/>
      <w:suff w:val="nothing"/>
      <w:lvlText w:val="%4"/>
      <w:lvlJc w:val="left"/>
      <w:pPr>
        <w:tabs>
          <w:tab w:val="num" w:pos="0"/>
        </w:tabs>
        <w:ind w:left="0" w:hanging="0"/>
      </w:pPr>
    </w:lvl>
    <w:lvl w:ilvl="4">
      <w:start w:val="1"/>
      <w:numFmt w:val="none"/>
      <w:suff w:val="nothing"/>
      <w:lvlText w:val="%5"/>
      <w:lvlJc w:val="left"/>
      <w:pPr>
        <w:tabs>
          <w:tab w:val="num" w:pos="0"/>
        </w:tabs>
        <w:ind w:left="0" w:hanging="0"/>
      </w:pPr>
    </w:lvl>
    <w:lvl w:ilvl="5">
      <w:start w:val="1"/>
      <w:numFmt w:val="none"/>
      <w:suff w:val="nothing"/>
      <w:lvlText w:val="%6"/>
      <w:lvlJc w:val="left"/>
      <w:pPr>
        <w:tabs>
          <w:tab w:val="num" w:pos="0"/>
        </w:tabs>
        <w:ind w:left="0" w:hanging="0"/>
      </w:pPr>
    </w:lvl>
    <w:lvl w:ilvl="6">
      <w:start w:val="1"/>
      <w:numFmt w:val="none"/>
      <w:suff w:val="nothing"/>
      <w:lvlText w:val="%7"/>
      <w:lvlJc w:val="left"/>
      <w:pPr>
        <w:tabs>
          <w:tab w:val="num" w:pos="0"/>
        </w:tabs>
        <w:ind w:left="0" w:hanging="0"/>
      </w:pPr>
    </w:lvl>
    <w:lvl w:ilvl="7">
      <w:start w:val="1"/>
      <w:numFmt w:val="none"/>
      <w:suff w:val="nothing"/>
      <w:lvlText w:val="%8"/>
      <w:lvlJc w:val="left"/>
      <w:pPr>
        <w:tabs>
          <w:tab w:val="num" w:pos="0"/>
        </w:tabs>
        <w:ind w:left="0" w:hanging="0"/>
      </w:pPr>
    </w:lvl>
    <w:lvl w:ilvl="8">
      <w:start w:val="1"/>
      <w:numFmt w:val="none"/>
      <w:suff w:val="nothing"/>
      <w:lvlText w:val="%9"/>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view w:val="web"/>
  <w:zoom w:percent="100"/>
  <w:defaultTabStop w:val="1134"/>
  <w:autoHyphenation w:val="true"/>
  <w:compat>
    <w:compatSetting w:name="compatibilityMode" w:uri="http://schemas.microsoft.com/office/word" w:val="12"/>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Noto Sans Devanagari"/>
        <w:sz w:val="24"/>
        <w:szCs w:val="24"/>
        <w:lang w:val="en-US" w:eastAsia="zh-CN" w:bidi="hi-IN"/>
      </w:rPr>
    </w:rPrDefault>
    <w:pPrDefault>
      <w:pPr>
        <w:suppressAutoHyphens w:val="true"/>
      </w:pPr>
    </w:pPrDefault>
  </w:docDefaults>
  <w:style w:type="paragraph" w:styleId="Normal">
    <w:name w:val="Normal"/>
    <w:qFormat/>
    <w:pPr>
      <w:widowControl w:val="false"/>
      <w:bidi w:val="0"/>
      <w:spacing w:lineRule="auto" w:line="292"/>
    </w:pPr>
    <w:rPr>
      <w:rFonts w:ascii="Helvetica Neue;Helvetica;Arial;sans-serif" w:hAnsi="Helvetica Neue;Helvetica;Arial;sans-serif" w:eastAsia="Helvetica Neue;Helvetica;Arial;sans-serif" w:cs="Helvetica Neue;Helvetica;Arial;sans-serif"/>
      <w:color w:val="1A1A1A"/>
      <w:sz w:val="16"/>
      <w:szCs w:val="16"/>
      <w:lang w:val="en-US" w:eastAsia="zh-CN" w:bidi="hi-IN"/>
    </w:rPr>
  </w:style>
  <w:style w:type="paragraph" w:styleId="Heading1">
    <w:name w:val="Heading 1"/>
    <w:basedOn w:val="Heading"/>
    <w:next w:val="BodyText"/>
    <w:qFormat/>
    <w:pPr/>
    <w:rPr>
      <w:rFonts w:ascii="Noto Sans" w:hAnsi="Noto Sans"/>
      <w:b/>
      <w:bCs/>
      <w:sz w:val="25"/>
      <w:szCs w:val="25"/>
    </w:rPr>
  </w:style>
  <w:style w:type="paragraph" w:styleId="Heading2">
    <w:name w:val="Heading 2"/>
    <w:basedOn w:val="Heading"/>
    <w:next w:val="BodyText"/>
    <w:qFormat/>
    <w:pPr>
      <w:spacing w:before="200" w:after="120"/>
      <w:outlineLvl w:val="1"/>
    </w:pPr>
    <w:rPr>
      <w:rFonts w:ascii="Liberation Serif" w:hAnsi="Liberation Serif" w:eastAsia="Noto Serif CJK SC" w:cs="Noto Sans Devanagari"/>
      <w:b/>
      <w:bCs/>
      <w:caps/>
      <w:sz w:val="16"/>
      <w:szCs w:val="16"/>
    </w:rPr>
  </w:style>
  <w:style w:type="character" w:styleId="EndnoteCharacters">
    <w:name w:val="Endnote Characters"/>
    <w:qFormat/>
    <w:rPr/>
  </w:style>
  <w:style w:type="character" w:styleId="FootnoteCharacters">
    <w:name w:val="Footnote Characters"/>
    <w:qFormat/>
    <w:rPr/>
  </w:style>
  <w:style w:type="character" w:styleId="Hyperlink">
    <w:name w:val="Hyperlink"/>
    <w:rPr>
      <w:color w:val="000080"/>
      <w:u w:val="single"/>
    </w:rPr>
  </w:style>
  <w:style w:type="character" w:styleId="NumberingSymbols">
    <w:name w:val="Numbering Symbols"/>
    <w:qFormat/>
    <w:rPr/>
  </w:style>
  <w:style w:type="paragraph" w:styleId="HorizontalLine">
    <w:name w:val="Horizontal Line"/>
    <w:basedOn w:val="Normal"/>
    <w:next w:val="BodyText"/>
    <w:qFormat/>
    <w:pPr>
      <w:pBdr>
        <w:bottom w:val="double" w:sz="2" w:space="0" w:color="808080"/>
      </w:pBdr>
      <w:spacing w:before="0" w:after="283"/>
    </w:pPr>
    <w:rPr>
      <w:sz w:val="12"/>
    </w:rPr>
  </w:style>
  <w:style w:type="paragraph" w:styleId="EnvelopeReturn">
    <w:name w:val="Envelope Return"/>
    <w:basedOn w:val="Normal"/>
    <w:pPr/>
    <w:rPr>
      <w:i/>
    </w:rPr>
  </w:style>
  <w:style w:type="paragraph" w:styleId="TableContents">
    <w:name w:val="Table Contents"/>
    <w:basedOn w:val="BodyText"/>
    <w:qFormat/>
    <w:pPr/>
    <w:rPr/>
  </w:style>
  <w:style w:type="paragraph" w:styleId="Footer">
    <w:name w:val="Footer"/>
    <w:basedOn w:val="Normal"/>
    <w:pPr>
      <w:suppressLineNumbers/>
      <w:tabs>
        <w:tab w:val="clear" w:pos="1134"/>
        <w:tab w:val="center" w:pos="4818" w:leader="none"/>
        <w:tab w:val="right" w:pos="9637" w:leader="none"/>
      </w:tabs>
    </w:pPr>
    <w:rPr/>
  </w:style>
  <w:style w:type="paragraph" w:styleId="Header">
    <w:name w:val="Header"/>
    <w:basedOn w:val="Normal"/>
    <w:pPr>
      <w:suppressLineNumbers/>
      <w:tabs>
        <w:tab w:val="clear" w:pos="1134"/>
        <w:tab w:val="center" w:pos="4818" w:leader="none"/>
        <w:tab w:val="right" w:pos="9637" w:leader="none"/>
      </w:tabs>
    </w:pPr>
    <w:rPr/>
  </w:style>
  <w:style w:type="paragraph" w:styleId="HeaderandFooter">
    <w:name w:val="Header and Footer"/>
    <w:basedOn w:val="Normal"/>
    <w:qFormat/>
    <w:pPr>
      <w:suppressLineNumbers/>
      <w:tabs>
        <w:tab w:val="clear" w:pos="1134"/>
        <w:tab w:val="center" w:pos="4819" w:leader="none"/>
        <w:tab w:val="right" w:pos="9638" w:leader="none"/>
      </w:tabs>
    </w:pPr>
    <w:rPr/>
  </w:style>
  <w:style w:type="paragraph" w:styleId="Index">
    <w:name w:val="Index"/>
    <w:basedOn w:val="Normal"/>
    <w:qFormat/>
    <w:pPr>
      <w:suppressLineNumbers/>
    </w:pPr>
    <w:rPr>
      <w:rFonts w:cs="Noto Sans Devanagari"/>
    </w:rPr>
  </w:style>
  <w:style w:type="paragraph" w:styleId="Caption">
    <w:name w:val="Caption"/>
    <w:basedOn w:val="Normal"/>
    <w:qFormat/>
    <w:pPr>
      <w:suppressLineNumbers/>
      <w:spacing w:before="120" w:after="120"/>
    </w:pPr>
    <w:rPr>
      <w:rFonts w:cs="Noto Sans Devanagari"/>
      <w:i/>
      <w:iCs/>
      <w:sz w:val="24"/>
      <w:szCs w:val="24"/>
    </w:rPr>
  </w:style>
  <w:style w:type="paragraph" w:styleId="List">
    <w:name w:val="List"/>
    <w:basedOn w:val="BodyText"/>
    <w:pPr/>
    <w:rPr>
      <w:rFonts w:cs="Noto Sans Devanagari"/>
    </w:rPr>
  </w:style>
  <w:style w:type="paragraph" w:styleId="BodyText">
    <w:name w:val="Body Text"/>
    <w:basedOn w:val="Normal"/>
    <w:pPr>
      <w:spacing w:before="0" w:after="283"/>
    </w:pPr>
    <w:rPr/>
  </w:style>
  <w:style w:type="paragraph" w:styleId="Heading">
    <w:name w:val="Heading"/>
    <w:basedOn w:val="Normal"/>
    <w:next w:val="BodyText"/>
    <w:qFormat/>
    <w:pPr>
      <w:keepNext w:val="true"/>
      <w:spacing w:before="240" w:after="283"/>
    </w:pPr>
    <w:rPr>
      <w:rFonts w:ascii="Liberation Sans" w:hAnsi="Liberation Sans"/>
      <w:sz w:val="28"/>
      <w:szCs w:val="28"/>
    </w:rPr>
  </w:style>
  <w:style w:type="paragraph" w:styleId="BodyTextsub">
    <w:name w:val="Body Text.sub"/>
    <w:basedOn w:val="BodyText"/>
    <w:qFormat/>
    <w:pPr>
      <w:spacing w:before="0" w:after="113"/>
    </w:pPr>
    <w:rPr>
      <w:color w:val="555555"/>
      <w:sz w:val="14"/>
      <w:szCs w:val="14"/>
    </w:rPr>
  </w:style>
  <w:style w:type="paragraph" w:styleId="BodyTexthint">
    <w:name w:val="Body Text.hint"/>
    <w:basedOn w:val="BodyText"/>
    <w:qFormat/>
    <w:pPr>
      <w:spacing w:before="0" w:after="0"/>
      <w:ind w:left="0" w:right="0"/>
    </w:pPr>
    <w:rPr>
      <w:color w:val="666666"/>
      <w:sz w:val="13"/>
      <w:szCs w:val="13"/>
    </w:rPr>
  </w:style>
  <w:style w:type="paragraph" w:styleId="BodyTextfoot">
    <w:name w:val="Body Text.foot"/>
    <w:basedOn w:val="BodyText"/>
    <w:qFormat/>
    <w:pPr>
      <w:pBdr>
        <w:top w:val="single" w:sz="2" w:space="3" w:color="DDDDDD"/>
      </w:pBdr>
      <w:spacing w:before="142" w:after="283"/>
    </w:pPr>
    <w:rPr>
      <w:color w:val="777777"/>
      <w:sz w:val="12"/>
      <w:szCs w:val="12"/>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KaufvertragZentrale</Application>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KaufvertragZentrale</dc:creator>
  <dc:description/>
  <dc:language>de-DE</dc:language>
  <cp:lastModifiedBy>KaufvertragZentrale</cp:lastModifiedBy>
  <cp:revision>0</cp:revision>
  <dc:subject/>
  <dc:title>Kaufvertrag für einen gebrauchten Anhänger</dc:title>
</cp:coreProperties>
</file>

<file path=docProps/custom.xml><?xml version="1.0" encoding="utf-8"?>
<Properties xmlns="http://schemas.openxmlformats.org/officeDocument/2006/custom-properties" xmlns:vt="http://schemas.openxmlformats.org/officeDocument/2006/docPropsVTypes"/>
</file>